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921B" w14:textId="4C9CAA13" w:rsidR="003A7803" w:rsidRDefault="003A7803" w:rsidP="00A622B8">
      <w:pPr>
        <w:pStyle w:val="BodyText"/>
        <w:ind w:left="9227"/>
        <w:rPr>
          <w:rFonts w:ascii="Times New Roman"/>
          <w:sz w:val="20"/>
        </w:rPr>
      </w:pPr>
    </w:p>
    <w:p w14:paraId="533FEB0C" w14:textId="562903D9" w:rsidR="00A622B8" w:rsidRDefault="00C9559C" w:rsidP="00A622B8">
      <w:pPr>
        <w:spacing w:line="278" w:lineRule="auto"/>
        <w:ind w:right="4120"/>
        <w:jc w:val="center"/>
        <w:rPr>
          <w:b/>
          <w:spacing w:val="-16"/>
          <w:sz w:val="24"/>
        </w:rPr>
      </w:pPr>
      <w:r>
        <w:rPr>
          <w:b/>
          <w:sz w:val="24"/>
        </w:rPr>
        <w:t>St Michael’s C of E Academy</w:t>
      </w:r>
      <w:r w:rsidR="00A622B8">
        <w:rPr>
          <w:b/>
          <w:sz w:val="24"/>
        </w:rPr>
        <w:t xml:space="preserve"> </w:t>
      </w:r>
      <w:r>
        <w:rPr>
          <w:b/>
          <w:sz w:val="24"/>
        </w:rPr>
        <w:t xml:space="preserve">2023 </w:t>
      </w:r>
      <w:r w:rsidR="00A622B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8D5CDC">
        <w:rPr>
          <w:b/>
          <w:sz w:val="24"/>
        </w:rPr>
        <w:t>202</w:t>
      </w:r>
      <w:r>
        <w:rPr>
          <w:b/>
          <w:sz w:val="24"/>
        </w:rPr>
        <w:t>4</w:t>
      </w:r>
    </w:p>
    <w:p w14:paraId="2B4BF3D8" w14:textId="2D37DDAC" w:rsidR="003A7803" w:rsidRPr="00A622B8" w:rsidRDefault="008D5CDC" w:rsidP="00A622B8">
      <w:pPr>
        <w:spacing w:line="278" w:lineRule="auto"/>
        <w:ind w:right="4120"/>
        <w:jc w:val="center"/>
        <w:rPr>
          <w:b/>
          <w:spacing w:val="-16"/>
          <w:sz w:val="24"/>
        </w:rPr>
      </w:pPr>
      <w:r>
        <w:rPr>
          <w:b/>
          <w:sz w:val="24"/>
        </w:rPr>
        <w:t>Pupil</w:t>
      </w:r>
      <w:r w:rsidR="00A622B8">
        <w:rPr>
          <w:b/>
          <w:spacing w:val="-17"/>
          <w:sz w:val="24"/>
        </w:rPr>
        <w:t xml:space="preserve"> </w:t>
      </w:r>
      <w:r>
        <w:rPr>
          <w:b/>
          <w:sz w:val="24"/>
        </w:rPr>
        <w:t>Outcomes</w:t>
      </w:r>
    </w:p>
    <w:p w14:paraId="1BD67DBD" w14:textId="77777777" w:rsidR="003A7803" w:rsidRDefault="001352DE">
      <w:pPr>
        <w:spacing w:before="160"/>
        <w:ind w:left="804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outcomes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pupils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academy,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each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stage,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set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out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below:</w:t>
      </w:r>
    </w:p>
    <w:p w14:paraId="0EA26E17" w14:textId="77777777" w:rsidR="003A7803" w:rsidRDefault="003A7803">
      <w:pPr>
        <w:pStyle w:val="BodyText"/>
        <w:spacing w:before="6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22"/>
      </w:tblGrid>
      <w:tr w:rsidR="003A7803" w14:paraId="15D95C73" w14:textId="77777777" w:rsidTr="00C9559C">
        <w:trPr>
          <w:trHeight w:val="328"/>
        </w:trPr>
        <w:tc>
          <w:tcPr>
            <w:tcW w:w="4808" w:type="dxa"/>
            <w:shd w:val="clear" w:color="auto" w:fill="CC0066"/>
          </w:tcPr>
          <w:p w14:paraId="08662533" w14:textId="77777777" w:rsidR="003A7803" w:rsidRDefault="001352DE">
            <w:pPr>
              <w:pStyle w:val="TableParagraph"/>
              <w:ind w:left="16" w:right="3"/>
              <w:rPr>
                <w:b/>
              </w:rPr>
            </w:pPr>
            <w:r>
              <w:rPr>
                <w:b/>
                <w:color w:val="FFFFFF"/>
              </w:rPr>
              <w:t>EYFS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GLD</w:t>
            </w:r>
            <w:r>
              <w:rPr>
                <w:b/>
                <w:color w:val="FFFFFF"/>
                <w:spacing w:val="-2"/>
              </w:rPr>
              <w:t xml:space="preserve"> National</w:t>
            </w:r>
          </w:p>
        </w:tc>
        <w:tc>
          <w:tcPr>
            <w:tcW w:w="4822" w:type="dxa"/>
            <w:shd w:val="clear" w:color="auto" w:fill="CC0066"/>
          </w:tcPr>
          <w:p w14:paraId="51ADDBE2" w14:textId="395D9390" w:rsidR="003A7803" w:rsidRDefault="001352DE">
            <w:pPr>
              <w:pStyle w:val="TableParagraph"/>
              <w:ind w:left="12" w:right="2"/>
              <w:rPr>
                <w:b/>
              </w:rPr>
            </w:pPr>
            <w:r>
              <w:rPr>
                <w:b/>
                <w:color w:val="FFFFFF"/>
              </w:rPr>
              <w:t>EYFS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GLD</w:t>
            </w:r>
            <w:r>
              <w:rPr>
                <w:b/>
                <w:color w:val="FFFFFF"/>
                <w:spacing w:val="-3"/>
              </w:rPr>
              <w:t xml:space="preserve"> </w:t>
            </w:r>
            <w:r w:rsidR="00C9559C">
              <w:rPr>
                <w:b/>
                <w:color w:val="FFFFFF"/>
                <w:spacing w:val="-2"/>
              </w:rPr>
              <w:t xml:space="preserve">St Michael’s </w:t>
            </w:r>
          </w:p>
        </w:tc>
      </w:tr>
      <w:tr w:rsidR="003A7803" w14:paraId="7A08D07F" w14:textId="77777777">
        <w:trPr>
          <w:trHeight w:val="330"/>
        </w:trPr>
        <w:tc>
          <w:tcPr>
            <w:tcW w:w="4808" w:type="dxa"/>
          </w:tcPr>
          <w:p w14:paraId="7BA46967" w14:textId="20EAF680" w:rsidR="003A7803" w:rsidRDefault="00A622B8">
            <w:pPr>
              <w:pStyle w:val="TableParagraph"/>
              <w:spacing w:before="4"/>
              <w:ind w:left="16" w:right="3"/>
              <w:rPr>
                <w:rFonts w:ascii="Arial MT"/>
              </w:rPr>
            </w:pPr>
            <w:r>
              <w:rPr>
                <w:rFonts w:ascii="Arial MT"/>
              </w:rPr>
              <w:t>68%</w:t>
            </w:r>
          </w:p>
          <w:p w14:paraId="4EBC581B" w14:textId="5D4ECA68" w:rsidR="00C9559C" w:rsidRDefault="00C9559C">
            <w:pPr>
              <w:pStyle w:val="TableParagraph"/>
              <w:spacing w:before="4"/>
              <w:ind w:left="16" w:right="3"/>
              <w:rPr>
                <w:rFonts w:ascii="Arial MT"/>
              </w:rPr>
            </w:pPr>
          </w:p>
        </w:tc>
        <w:tc>
          <w:tcPr>
            <w:tcW w:w="4822" w:type="dxa"/>
          </w:tcPr>
          <w:p w14:paraId="2A8CE3B8" w14:textId="67F25FA7" w:rsidR="003A7803" w:rsidRDefault="00FB0E19">
            <w:pPr>
              <w:pStyle w:val="TableParagraph"/>
              <w:spacing w:before="4"/>
              <w:ind w:left="12"/>
              <w:rPr>
                <w:rFonts w:ascii="Arial MT"/>
              </w:rPr>
            </w:pPr>
            <w:r>
              <w:rPr>
                <w:rFonts w:ascii="Arial MT"/>
              </w:rPr>
              <w:t>76%</w:t>
            </w:r>
          </w:p>
        </w:tc>
      </w:tr>
    </w:tbl>
    <w:p w14:paraId="3F33A35B" w14:textId="77777777" w:rsidR="003A7803" w:rsidRDefault="003A7803">
      <w:pPr>
        <w:pStyle w:val="BodyText"/>
        <w:spacing w:before="157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22"/>
      </w:tblGrid>
      <w:tr w:rsidR="003A7803" w14:paraId="46470EE3" w14:textId="77777777" w:rsidTr="00C9559C">
        <w:trPr>
          <w:trHeight w:val="328"/>
        </w:trPr>
        <w:tc>
          <w:tcPr>
            <w:tcW w:w="4808" w:type="dxa"/>
            <w:shd w:val="clear" w:color="auto" w:fill="CC0066"/>
          </w:tcPr>
          <w:p w14:paraId="3B0EA06B" w14:textId="77777777" w:rsidR="003A7803" w:rsidRDefault="001352DE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FFFFFF"/>
              </w:rPr>
              <w:t>Y1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Phonics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Check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National</w:t>
            </w:r>
          </w:p>
        </w:tc>
        <w:tc>
          <w:tcPr>
            <w:tcW w:w="4822" w:type="dxa"/>
            <w:shd w:val="clear" w:color="auto" w:fill="CC0066"/>
          </w:tcPr>
          <w:p w14:paraId="3B2CF1DA" w14:textId="62E057B9" w:rsidR="003A7803" w:rsidRDefault="001352DE">
            <w:pPr>
              <w:pStyle w:val="TableParagraph"/>
              <w:ind w:left="12" w:right="2"/>
              <w:rPr>
                <w:b/>
              </w:rPr>
            </w:pPr>
            <w:r>
              <w:rPr>
                <w:b/>
                <w:color w:val="FFFFFF"/>
              </w:rPr>
              <w:t>Y1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Phonics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Check</w:t>
            </w:r>
            <w:r w:rsidR="00C9559C">
              <w:rPr>
                <w:b/>
                <w:color w:val="FFFFFF"/>
              </w:rPr>
              <w:t xml:space="preserve"> </w:t>
            </w:r>
            <w:r w:rsidR="00C9559C">
              <w:rPr>
                <w:b/>
                <w:color w:val="FFFFFF"/>
                <w:spacing w:val="-5"/>
              </w:rPr>
              <w:t xml:space="preserve">St Michael’s </w:t>
            </w:r>
          </w:p>
        </w:tc>
      </w:tr>
      <w:tr w:rsidR="003A7803" w14:paraId="7A8D7542" w14:textId="77777777">
        <w:trPr>
          <w:trHeight w:val="330"/>
        </w:trPr>
        <w:tc>
          <w:tcPr>
            <w:tcW w:w="4808" w:type="dxa"/>
          </w:tcPr>
          <w:p w14:paraId="69C8FE20" w14:textId="1957ED12" w:rsidR="003A7803" w:rsidRDefault="00A622B8">
            <w:pPr>
              <w:pStyle w:val="TableParagraph"/>
              <w:spacing w:before="4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79%</w:t>
            </w:r>
          </w:p>
          <w:p w14:paraId="2F12FA60" w14:textId="32B7D43E" w:rsidR="00C9559C" w:rsidRDefault="00C9559C">
            <w:pPr>
              <w:pStyle w:val="TableParagraph"/>
              <w:spacing w:before="4"/>
              <w:ind w:left="16"/>
              <w:rPr>
                <w:rFonts w:ascii="Arial MT"/>
              </w:rPr>
            </w:pPr>
          </w:p>
        </w:tc>
        <w:tc>
          <w:tcPr>
            <w:tcW w:w="4822" w:type="dxa"/>
          </w:tcPr>
          <w:p w14:paraId="061BFB89" w14:textId="5482F822" w:rsidR="003A7803" w:rsidRDefault="00FB0E19">
            <w:pPr>
              <w:pStyle w:val="TableParagraph"/>
              <w:spacing w:before="4"/>
              <w:ind w:left="12"/>
              <w:rPr>
                <w:rFonts w:ascii="Arial MT"/>
              </w:rPr>
            </w:pPr>
            <w:r>
              <w:rPr>
                <w:rFonts w:ascii="Arial MT"/>
              </w:rPr>
              <w:t>80%</w:t>
            </w:r>
          </w:p>
        </w:tc>
      </w:tr>
      <w:tr w:rsidR="003A7803" w14:paraId="20B37483" w14:textId="77777777" w:rsidTr="00C9559C">
        <w:trPr>
          <w:trHeight w:val="330"/>
        </w:trPr>
        <w:tc>
          <w:tcPr>
            <w:tcW w:w="4808" w:type="dxa"/>
            <w:shd w:val="clear" w:color="auto" w:fill="CC0066"/>
          </w:tcPr>
          <w:p w14:paraId="1FD8518D" w14:textId="77777777" w:rsidR="003A7803" w:rsidRDefault="001352DE">
            <w:pPr>
              <w:pStyle w:val="TableParagraph"/>
              <w:ind w:left="16" w:right="1"/>
              <w:rPr>
                <w:b/>
              </w:rPr>
            </w:pPr>
            <w:r>
              <w:rPr>
                <w:b/>
                <w:color w:val="FFFFFF"/>
              </w:rPr>
              <w:t>Y2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Phonics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Check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National</w:t>
            </w:r>
          </w:p>
        </w:tc>
        <w:tc>
          <w:tcPr>
            <w:tcW w:w="4822" w:type="dxa"/>
            <w:shd w:val="clear" w:color="auto" w:fill="CC0066"/>
          </w:tcPr>
          <w:p w14:paraId="48BD4957" w14:textId="48BF0158" w:rsidR="003A7803" w:rsidRDefault="001352DE">
            <w:pPr>
              <w:pStyle w:val="TableParagraph"/>
              <w:ind w:left="12" w:right="2"/>
              <w:rPr>
                <w:b/>
              </w:rPr>
            </w:pPr>
            <w:r>
              <w:rPr>
                <w:b/>
                <w:color w:val="FFFFFF"/>
              </w:rPr>
              <w:t>Y2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Phonics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Check</w:t>
            </w:r>
            <w:r>
              <w:rPr>
                <w:b/>
                <w:color w:val="FFFFFF"/>
                <w:spacing w:val="-5"/>
              </w:rPr>
              <w:t xml:space="preserve"> </w:t>
            </w:r>
            <w:r w:rsidR="00C9559C">
              <w:rPr>
                <w:b/>
                <w:color w:val="FFFFFF"/>
                <w:spacing w:val="-5"/>
              </w:rPr>
              <w:t>St Michael’s</w:t>
            </w:r>
          </w:p>
        </w:tc>
      </w:tr>
      <w:tr w:rsidR="003A7803" w14:paraId="243BC679" w14:textId="77777777">
        <w:trPr>
          <w:trHeight w:val="331"/>
        </w:trPr>
        <w:tc>
          <w:tcPr>
            <w:tcW w:w="4808" w:type="dxa"/>
          </w:tcPr>
          <w:p w14:paraId="5FF6333F" w14:textId="6A9CF974" w:rsidR="00C9559C" w:rsidRDefault="00A622B8" w:rsidP="00A622B8">
            <w:pPr>
              <w:pStyle w:val="TableParagraph"/>
              <w:spacing w:before="3"/>
              <w:ind w:left="0" w:right="1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 xml:space="preserve">                                    89%</w:t>
            </w:r>
          </w:p>
          <w:p w14:paraId="1F897A44" w14:textId="58974F94" w:rsidR="00A622B8" w:rsidRDefault="00A622B8" w:rsidP="00A622B8">
            <w:pPr>
              <w:pStyle w:val="TableParagraph"/>
              <w:spacing w:before="3"/>
              <w:ind w:left="0" w:right="1"/>
              <w:jc w:val="left"/>
              <w:rPr>
                <w:rFonts w:ascii="Arial MT"/>
              </w:rPr>
            </w:pPr>
          </w:p>
        </w:tc>
        <w:tc>
          <w:tcPr>
            <w:tcW w:w="4822" w:type="dxa"/>
          </w:tcPr>
          <w:p w14:paraId="782450C6" w14:textId="19A2E0A9" w:rsidR="003A7803" w:rsidRDefault="00FB0E19">
            <w:pPr>
              <w:pStyle w:val="TableParagraph"/>
              <w:spacing w:before="3"/>
              <w:ind w:left="12"/>
              <w:rPr>
                <w:rFonts w:ascii="Arial MT"/>
              </w:rPr>
            </w:pPr>
            <w:r>
              <w:rPr>
                <w:rFonts w:ascii="Arial MT"/>
              </w:rPr>
              <w:t>100%</w:t>
            </w:r>
          </w:p>
        </w:tc>
      </w:tr>
    </w:tbl>
    <w:p w14:paraId="2439E441" w14:textId="77777777" w:rsidR="003A7803" w:rsidRDefault="003A7803">
      <w:pPr>
        <w:pStyle w:val="BodyText"/>
        <w:spacing w:before="1"/>
        <w:rPr>
          <w:sz w:val="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1938"/>
        <w:gridCol w:w="1940"/>
        <w:gridCol w:w="1913"/>
        <w:gridCol w:w="1938"/>
      </w:tblGrid>
      <w:tr w:rsidR="003A7803" w14:paraId="13C21E24" w14:textId="77777777" w:rsidTr="00C9559C">
        <w:trPr>
          <w:trHeight w:val="328"/>
        </w:trPr>
        <w:tc>
          <w:tcPr>
            <w:tcW w:w="9633" w:type="dxa"/>
            <w:gridSpan w:val="5"/>
            <w:shd w:val="clear" w:color="auto" w:fill="CC0066"/>
          </w:tcPr>
          <w:p w14:paraId="5BF6525A" w14:textId="77777777" w:rsidR="003A7803" w:rsidRDefault="001352DE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Stage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Outcomes</w:t>
            </w:r>
          </w:p>
        </w:tc>
      </w:tr>
      <w:tr w:rsidR="003A7803" w14:paraId="3471821B" w14:textId="77777777" w:rsidTr="00C9559C">
        <w:trPr>
          <w:trHeight w:val="725"/>
        </w:trPr>
        <w:tc>
          <w:tcPr>
            <w:tcW w:w="1904" w:type="dxa"/>
          </w:tcPr>
          <w:p w14:paraId="190AFD95" w14:textId="77777777" w:rsidR="003A7803" w:rsidRDefault="001352DE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>Subject</w:t>
            </w:r>
          </w:p>
        </w:tc>
        <w:tc>
          <w:tcPr>
            <w:tcW w:w="1938" w:type="dxa"/>
          </w:tcPr>
          <w:p w14:paraId="029D1854" w14:textId="77777777" w:rsidR="00C9559C" w:rsidRDefault="001352DE" w:rsidP="00C9559C">
            <w:pPr>
              <w:pStyle w:val="TableParagraph"/>
              <w:ind w:left="534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>National</w:t>
            </w:r>
          </w:p>
          <w:p w14:paraId="35C3DFCA" w14:textId="76219D51" w:rsidR="003A7803" w:rsidRDefault="001352DE" w:rsidP="00C9559C">
            <w:pPr>
              <w:pStyle w:val="TableParagraph"/>
              <w:ind w:left="534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>Expected</w:t>
            </w:r>
          </w:p>
        </w:tc>
        <w:tc>
          <w:tcPr>
            <w:tcW w:w="1940" w:type="dxa"/>
          </w:tcPr>
          <w:p w14:paraId="366D11BD" w14:textId="46A0F882" w:rsidR="003A7803" w:rsidRDefault="00C9559C">
            <w:pPr>
              <w:pStyle w:val="TableParagraph"/>
              <w:spacing w:before="0" w:line="280" w:lineRule="auto"/>
              <w:ind w:left="481" w:firstLine="4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>St Michael’s Expected</w:t>
            </w:r>
          </w:p>
        </w:tc>
        <w:tc>
          <w:tcPr>
            <w:tcW w:w="1913" w:type="dxa"/>
          </w:tcPr>
          <w:p w14:paraId="114E52D5" w14:textId="77777777" w:rsidR="003A7803" w:rsidRDefault="001352DE">
            <w:pPr>
              <w:pStyle w:val="TableParagraph"/>
              <w:spacing w:before="0" w:line="280" w:lineRule="auto"/>
              <w:ind w:left="221" w:right="210" w:firstLine="297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 xml:space="preserve">National </w:t>
            </w:r>
            <w:r>
              <w:rPr>
                <w:b/>
                <w:color w:val="E14585"/>
              </w:rPr>
              <w:t>Greater</w:t>
            </w:r>
            <w:r>
              <w:rPr>
                <w:b/>
                <w:color w:val="E14585"/>
                <w:spacing w:val="-16"/>
              </w:rPr>
              <w:t xml:space="preserve"> </w:t>
            </w:r>
            <w:r>
              <w:rPr>
                <w:b/>
                <w:color w:val="E14585"/>
              </w:rPr>
              <w:t>Depth</w:t>
            </w:r>
          </w:p>
        </w:tc>
        <w:tc>
          <w:tcPr>
            <w:tcW w:w="1938" w:type="dxa"/>
          </w:tcPr>
          <w:p w14:paraId="04CC80B0" w14:textId="5204A641" w:rsidR="003A7803" w:rsidRDefault="00C9559C" w:rsidP="00C9559C">
            <w:pPr>
              <w:pStyle w:val="TableParagraph"/>
              <w:spacing w:before="0" w:line="280" w:lineRule="auto"/>
              <w:ind w:left="235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>St Michael’s Greater</w:t>
            </w:r>
            <w:r w:rsidR="008D5CDC">
              <w:rPr>
                <w:b/>
                <w:color w:val="E14585"/>
                <w:spacing w:val="-16"/>
              </w:rPr>
              <w:t xml:space="preserve"> </w:t>
            </w:r>
            <w:r w:rsidR="008D5CDC">
              <w:rPr>
                <w:b/>
                <w:color w:val="E14585"/>
              </w:rPr>
              <w:t>Depth</w:t>
            </w:r>
          </w:p>
        </w:tc>
      </w:tr>
      <w:tr w:rsidR="003A7803" w14:paraId="791E7330" w14:textId="77777777">
        <w:trPr>
          <w:trHeight w:val="330"/>
        </w:trPr>
        <w:tc>
          <w:tcPr>
            <w:tcW w:w="1904" w:type="dxa"/>
          </w:tcPr>
          <w:p w14:paraId="0199190F" w14:textId="77777777" w:rsidR="003A7803" w:rsidRDefault="001352DE">
            <w:pPr>
              <w:pStyle w:val="TableParagraph"/>
              <w:ind w:left="110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Reading</w:t>
            </w:r>
          </w:p>
        </w:tc>
        <w:tc>
          <w:tcPr>
            <w:tcW w:w="1938" w:type="dxa"/>
          </w:tcPr>
          <w:p w14:paraId="3BCF50E1" w14:textId="77777777" w:rsidR="003A7803" w:rsidRDefault="008D5CDC">
            <w:pPr>
              <w:pStyle w:val="TableParagraph"/>
              <w:ind w:right="1"/>
              <w:rPr>
                <w:rFonts w:ascii="Arial MT"/>
              </w:rPr>
            </w:pPr>
            <w:r>
              <w:rPr>
                <w:rFonts w:ascii="Arial MT"/>
              </w:rPr>
              <w:t>68%</w:t>
            </w:r>
          </w:p>
          <w:p w14:paraId="6963005B" w14:textId="1E47A0F2" w:rsidR="00A92C9E" w:rsidRDefault="00A92C9E">
            <w:pPr>
              <w:pStyle w:val="TableParagraph"/>
              <w:ind w:right="1"/>
              <w:rPr>
                <w:rFonts w:ascii="Arial MT"/>
              </w:rPr>
            </w:pPr>
          </w:p>
        </w:tc>
        <w:tc>
          <w:tcPr>
            <w:tcW w:w="1940" w:type="dxa"/>
          </w:tcPr>
          <w:p w14:paraId="1B507E65" w14:textId="77777777" w:rsidR="003A7803" w:rsidRDefault="00A622B8">
            <w:pPr>
              <w:pStyle w:val="TableParagraph"/>
              <w:ind w:left="11"/>
              <w:rPr>
                <w:rFonts w:ascii="Arial MT"/>
              </w:rPr>
            </w:pPr>
            <w:r>
              <w:rPr>
                <w:rFonts w:ascii="Arial MT"/>
              </w:rPr>
              <w:t>83</w:t>
            </w:r>
            <w:r w:rsidR="008D5CDC">
              <w:rPr>
                <w:rFonts w:ascii="Arial MT"/>
              </w:rPr>
              <w:t>%</w:t>
            </w:r>
          </w:p>
          <w:p w14:paraId="16118DD6" w14:textId="63F9D6E2" w:rsidR="00A92C9E" w:rsidRDefault="00A92C9E">
            <w:pPr>
              <w:pStyle w:val="TableParagraph"/>
              <w:ind w:left="11"/>
              <w:rPr>
                <w:rFonts w:ascii="Arial MT"/>
              </w:rPr>
            </w:pPr>
          </w:p>
        </w:tc>
        <w:tc>
          <w:tcPr>
            <w:tcW w:w="1913" w:type="dxa"/>
          </w:tcPr>
          <w:p w14:paraId="3A7B0377" w14:textId="438CBB0A" w:rsidR="003A7803" w:rsidRDefault="008D5CDC">
            <w:pPr>
              <w:pStyle w:val="TableParagraph"/>
              <w:ind w:left="8" w:right="2"/>
              <w:rPr>
                <w:rFonts w:ascii="Arial MT"/>
              </w:rPr>
            </w:pPr>
            <w:r>
              <w:rPr>
                <w:rFonts w:ascii="Arial MT"/>
              </w:rPr>
              <w:t>19%</w:t>
            </w:r>
          </w:p>
        </w:tc>
        <w:tc>
          <w:tcPr>
            <w:tcW w:w="1938" w:type="dxa"/>
          </w:tcPr>
          <w:p w14:paraId="1C40B2F7" w14:textId="3AFA1671" w:rsidR="003A7803" w:rsidRDefault="00A92C9E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  <w:r w:rsidR="008D5CDC">
              <w:rPr>
                <w:rFonts w:ascii="Arial MT"/>
              </w:rPr>
              <w:t>%</w:t>
            </w:r>
          </w:p>
        </w:tc>
      </w:tr>
      <w:tr w:rsidR="003A7803" w14:paraId="5C046A3A" w14:textId="77777777">
        <w:trPr>
          <w:trHeight w:val="328"/>
        </w:trPr>
        <w:tc>
          <w:tcPr>
            <w:tcW w:w="1904" w:type="dxa"/>
          </w:tcPr>
          <w:p w14:paraId="2035E0E4" w14:textId="77777777" w:rsidR="003A7803" w:rsidRDefault="001352DE">
            <w:pPr>
              <w:pStyle w:val="TableParagraph"/>
              <w:ind w:left="110"/>
              <w:jc w:val="left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Writing</w:t>
            </w:r>
          </w:p>
        </w:tc>
        <w:tc>
          <w:tcPr>
            <w:tcW w:w="1938" w:type="dxa"/>
          </w:tcPr>
          <w:p w14:paraId="16727313" w14:textId="77777777" w:rsidR="003A7803" w:rsidRDefault="008D5CDC">
            <w:pPr>
              <w:pStyle w:val="TableParagraph"/>
              <w:ind w:right="1"/>
              <w:rPr>
                <w:rFonts w:ascii="Arial MT"/>
              </w:rPr>
            </w:pPr>
            <w:r>
              <w:rPr>
                <w:rFonts w:ascii="Arial MT"/>
              </w:rPr>
              <w:t>60%</w:t>
            </w:r>
          </w:p>
          <w:p w14:paraId="4E014665" w14:textId="3CF614FE" w:rsidR="00A92C9E" w:rsidRDefault="00A92C9E">
            <w:pPr>
              <w:pStyle w:val="TableParagraph"/>
              <w:ind w:right="1"/>
              <w:rPr>
                <w:rFonts w:ascii="Arial MT"/>
              </w:rPr>
            </w:pPr>
          </w:p>
        </w:tc>
        <w:tc>
          <w:tcPr>
            <w:tcW w:w="1940" w:type="dxa"/>
          </w:tcPr>
          <w:p w14:paraId="21F67A0B" w14:textId="393B423A" w:rsidR="003A7803" w:rsidRDefault="00A622B8">
            <w:pPr>
              <w:pStyle w:val="TableParagraph"/>
              <w:ind w:left="11"/>
              <w:rPr>
                <w:rFonts w:ascii="Arial MT"/>
              </w:rPr>
            </w:pPr>
            <w:r>
              <w:rPr>
                <w:rFonts w:ascii="Arial MT"/>
              </w:rPr>
              <w:t>83</w:t>
            </w:r>
            <w:r w:rsidR="008D5CDC">
              <w:rPr>
                <w:rFonts w:ascii="Arial MT"/>
              </w:rPr>
              <w:t>%</w:t>
            </w:r>
          </w:p>
        </w:tc>
        <w:tc>
          <w:tcPr>
            <w:tcW w:w="1913" w:type="dxa"/>
          </w:tcPr>
          <w:p w14:paraId="07B4BA50" w14:textId="08F05849" w:rsidR="003A7803" w:rsidRDefault="008D5CDC">
            <w:pPr>
              <w:pStyle w:val="TableParagraph"/>
              <w:ind w:left="8"/>
              <w:rPr>
                <w:rFonts w:ascii="Arial MT"/>
              </w:rPr>
            </w:pPr>
            <w:r>
              <w:rPr>
                <w:rFonts w:ascii="Arial MT"/>
              </w:rPr>
              <w:t>8%</w:t>
            </w:r>
          </w:p>
        </w:tc>
        <w:tc>
          <w:tcPr>
            <w:tcW w:w="1938" w:type="dxa"/>
          </w:tcPr>
          <w:p w14:paraId="3B5C3906" w14:textId="3B07CD7A" w:rsidR="003A7803" w:rsidRDefault="00A92C9E">
            <w:pPr>
              <w:pStyle w:val="TableParagraph"/>
              <w:ind w:right="3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  <w:r w:rsidR="008D5CDC">
              <w:rPr>
                <w:rFonts w:ascii="Arial MT"/>
              </w:rPr>
              <w:t>%</w:t>
            </w:r>
          </w:p>
        </w:tc>
      </w:tr>
      <w:tr w:rsidR="003A7803" w14:paraId="53464F70" w14:textId="77777777">
        <w:trPr>
          <w:trHeight w:val="330"/>
        </w:trPr>
        <w:tc>
          <w:tcPr>
            <w:tcW w:w="1904" w:type="dxa"/>
          </w:tcPr>
          <w:p w14:paraId="306C251D" w14:textId="77777777" w:rsidR="003A7803" w:rsidRDefault="001352DE">
            <w:pPr>
              <w:pStyle w:val="TableParagraph"/>
              <w:ind w:left="110"/>
              <w:jc w:val="left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Maths</w:t>
            </w:r>
            <w:proofErr w:type="spellEnd"/>
          </w:p>
        </w:tc>
        <w:tc>
          <w:tcPr>
            <w:tcW w:w="1938" w:type="dxa"/>
          </w:tcPr>
          <w:p w14:paraId="29133002" w14:textId="77777777" w:rsidR="003A7803" w:rsidRDefault="008D5CDC">
            <w:pPr>
              <w:pStyle w:val="TableParagraph"/>
              <w:ind w:right="1"/>
              <w:rPr>
                <w:rFonts w:ascii="Arial MT"/>
              </w:rPr>
            </w:pPr>
            <w:r>
              <w:rPr>
                <w:rFonts w:ascii="Arial MT"/>
              </w:rPr>
              <w:t>70%</w:t>
            </w:r>
          </w:p>
          <w:p w14:paraId="3FD88E8B" w14:textId="47902D23" w:rsidR="00A92C9E" w:rsidRDefault="00A92C9E">
            <w:pPr>
              <w:pStyle w:val="TableParagraph"/>
              <w:ind w:right="1"/>
              <w:rPr>
                <w:rFonts w:ascii="Arial MT"/>
              </w:rPr>
            </w:pPr>
          </w:p>
        </w:tc>
        <w:tc>
          <w:tcPr>
            <w:tcW w:w="1940" w:type="dxa"/>
          </w:tcPr>
          <w:p w14:paraId="71E14F7F" w14:textId="0E3918EE" w:rsidR="003A7803" w:rsidRDefault="00A622B8">
            <w:pPr>
              <w:pStyle w:val="TableParagraph"/>
              <w:ind w:left="11"/>
              <w:rPr>
                <w:rFonts w:ascii="Arial MT"/>
              </w:rPr>
            </w:pPr>
            <w:r>
              <w:rPr>
                <w:rFonts w:ascii="Arial MT"/>
              </w:rPr>
              <w:t>94</w:t>
            </w:r>
            <w:r w:rsidR="008D5CDC">
              <w:rPr>
                <w:rFonts w:ascii="Arial MT"/>
              </w:rPr>
              <w:t>%</w:t>
            </w:r>
          </w:p>
        </w:tc>
        <w:tc>
          <w:tcPr>
            <w:tcW w:w="1913" w:type="dxa"/>
          </w:tcPr>
          <w:p w14:paraId="6BB3B5A4" w14:textId="0777A058" w:rsidR="003A7803" w:rsidRDefault="008D5CDC">
            <w:pPr>
              <w:pStyle w:val="TableParagraph"/>
              <w:ind w:left="8" w:right="2"/>
              <w:rPr>
                <w:rFonts w:ascii="Arial MT"/>
              </w:rPr>
            </w:pPr>
            <w:r>
              <w:rPr>
                <w:rFonts w:ascii="Arial MT"/>
              </w:rPr>
              <w:t>16%</w:t>
            </w:r>
          </w:p>
        </w:tc>
        <w:tc>
          <w:tcPr>
            <w:tcW w:w="1938" w:type="dxa"/>
          </w:tcPr>
          <w:p w14:paraId="684C542E" w14:textId="1FCB0964" w:rsidR="003A7803" w:rsidRDefault="00A92C9E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  <w:r w:rsidR="008D5CDC">
              <w:rPr>
                <w:rFonts w:ascii="Arial MT"/>
              </w:rPr>
              <w:t>%</w:t>
            </w:r>
          </w:p>
        </w:tc>
      </w:tr>
    </w:tbl>
    <w:p w14:paraId="4B6256A6" w14:textId="77777777" w:rsidR="003A7803" w:rsidRDefault="003A7803">
      <w:pPr>
        <w:pStyle w:val="BodyText"/>
        <w:spacing w:before="158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3A7803" w14:paraId="0807933C" w14:textId="77777777" w:rsidTr="00C9559C">
        <w:trPr>
          <w:trHeight w:val="328"/>
        </w:trPr>
        <w:tc>
          <w:tcPr>
            <w:tcW w:w="9631" w:type="dxa"/>
            <w:shd w:val="clear" w:color="auto" w:fill="CC0066"/>
          </w:tcPr>
          <w:p w14:paraId="16A30BC7" w14:textId="77777777" w:rsidR="003A7803" w:rsidRDefault="001352DE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Stage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Two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Outcomes</w:t>
            </w:r>
          </w:p>
        </w:tc>
      </w:tr>
      <w:tr w:rsidR="00C9559C" w14:paraId="5AD83AB9" w14:textId="77777777" w:rsidTr="00A622B8">
        <w:trPr>
          <w:trHeight w:val="551"/>
        </w:trPr>
        <w:tc>
          <w:tcPr>
            <w:tcW w:w="9631" w:type="dxa"/>
            <w:shd w:val="clear" w:color="auto" w:fill="D9D9D9" w:themeFill="background1" w:themeFillShade="D9"/>
          </w:tcPr>
          <w:p w14:paraId="516CED4B" w14:textId="09C1D4DE" w:rsidR="00C9559C" w:rsidRDefault="00C9559C" w:rsidP="00C9559C">
            <w:pPr>
              <w:pStyle w:val="TableParagraph"/>
              <w:spacing w:before="0" w:line="280" w:lineRule="auto"/>
              <w:ind w:left="0" w:right="216"/>
              <w:jc w:val="left"/>
              <w:rPr>
                <w:b/>
              </w:rPr>
            </w:pPr>
            <w:r>
              <w:rPr>
                <w:b/>
                <w:color w:val="E14585"/>
                <w:spacing w:val="-2"/>
              </w:rPr>
              <w:t xml:space="preserve">No KS2 classes 2023 – 2024 </w:t>
            </w:r>
          </w:p>
        </w:tc>
      </w:tr>
    </w:tbl>
    <w:p w14:paraId="77749FBE" w14:textId="77777777" w:rsidR="003A7803" w:rsidRDefault="003A7803">
      <w:pPr>
        <w:pStyle w:val="BodyText"/>
        <w:spacing w:before="5" w:after="1"/>
        <w:rPr>
          <w:sz w:val="8"/>
        </w:rPr>
      </w:pPr>
    </w:p>
    <w:p w14:paraId="5E7FA63E" w14:textId="77777777" w:rsidR="003A7803" w:rsidRDefault="003A7803">
      <w:pPr>
        <w:pStyle w:val="BodyText"/>
        <w:rPr>
          <w:sz w:val="20"/>
        </w:rPr>
      </w:pPr>
    </w:p>
    <w:p w14:paraId="6219846B" w14:textId="77777777" w:rsidR="003A7803" w:rsidRDefault="003A7803">
      <w:pPr>
        <w:pStyle w:val="BodyText"/>
        <w:spacing w:before="73"/>
        <w:rPr>
          <w:sz w:val="20"/>
        </w:rPr>
      </w:pPr>
    </w:p>
    <w:p w14:paraId="769D8B2B" w14:textId="50094D1D" w:rsidR="003A7803" w:rsidRDefault="003A7803" w:rsidP="00057FB9">
      <w:pPr>
        <w:pStyle w:val="BodyText"/>
        <w:spacing w:before="334"/>
      </w:pPr>
    </w:p>
    <w:sectPr w:rsidR="003A7803">
      <w:type w:val="continuous"/>
      <w:pgSz w:w="11910" w:h="16840"/>
      <w:pgMar w:top="460" w:right="2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03"/>
    <w:rsid w:val="00057FB9"/>
    <w:rsid w:val="001352DE"/>
    <w:rsid w:val="003A7803"/>
    <w:rsid w:val="004B0673"/>
    <w:rsid w:val="006047E1"/>
    <w:rsid w:val="008D5CDC"/>
    <w:rsid w:val="00922568"/>
    <w:rsid w:val="00A622B8"/>
    <w:rsid w:val="00A92C9E"/>
    <w:rsid w:val="00AC14F0"/>
    <w:rsid w:val="00C9559C"/>
    <w:rsid w:val="00F02D95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B44C"/>
  <w15:docId w15:val="{2F6A4710-AFF8-4DBF-8DD2-179AD2D8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Title">
    <w:name w:val="Title"/>
    <w:basedOn w:val="Normal"/>
    <w:uiPriority w:val="10"/>
    <w:qFormat/>
    <w:pPr>
      <w:ind w:left="3" w:right="762"/>
      <w:jc w:val="center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DE407652B1B4AB62EDD9DA17147F5" ma:contentTypeVersion="17" ma:contentTypeDescription="Create a new document." ma:contentTypeScope="" ma:versionID="1169165572b41b5b4b345f8b4072c397">
  <xsd:schema xmlns:xsd="http://www.w3.org/2001/XMLSchema" xmlns:xs="http://www.w3.org/2001/XMLSchema" xmlns:p="http://schemas.microsoft.com/office/2006/metadata/properties" xmlns:ns2="cae4d1e2-4001-435d-9d0c-ce90d235078a" xmlns:ns3="84cfea0b-9fb9-410d-9e98-2845977e17ac" targetNamespace="http://schemas.microsoft.com/office/2006/metadata/properties" ma:root="true" ma:fieldsID="f8565698137322f292a0e658b916f056" ns2:_="" ns3:_="">
    <xsd:import namespace="cae4d1e2-4001-435d-9d0c-ce90d235078a"/>
    <xsd:import namespace="84cfea0b-9fb9-410d-9e98-2845977e1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d1e2-4001-435d-9d0c-ce90d2350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fea0b-9fb9-410d-9e98-2845977e1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016a87-9aab-4706-b0c2-8e0506969c4b}" ma:internalName="TaxCatchAll" ma:showField="CatchAllData" ma:web="84cfea0b-9fb9-410d-9e98-2845977e1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4d1e2-4001-435d-9d0c-ce90d235078a">
      <Terms xmlns="http://schemas.microsoft.com/office/infopath/2007/PartnerControls"/>
    </lcf76f155ced4ddcb4097134ff3c332f>
    <TaxCatchAll xmlns="84cfea0b-9fb9-410d-9e98-2845977e17ac" xsi:nil="true"/>
  </documentManagement>
</p:properties>
</file>

<file path=customXml/itemProps1.xml><?xml version="1.0" encoding="utf-8"?>
<ds:datastoreItem xmlns:ds="http://schemas.openxmlformats.org/officeDocument/2006/customXml" ds:itemID="{F5BE2017-7E35-4216-826F-EFDE8851DA9D}"/>
</file>

<file path=customXml/itemProps2.xml><?xml version="1.0" encoding="utf-8"?>
<ds:datastoreItem xmlns:ds="http://schemas.openxmlformats.org/officeDocument/2006/customXml" ds:itemID="{0D1669A8-7298-4386-9180-C316EF61F110}"/>
</file>

<file path=customXml/itemProps3.xml><?xml version="1.0" encoding="utf-8"?>
<ds:datastoreItem xmlns:ds="http://schemas.openxmlformats.org/officeDocument/2006/customXml" ds:itemID="{08BE165B-032C-477F-B830-1A8173C8D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Rayner</dc:creator>
  <cp:lastModifiedBy>Nikki Burton</cp:lastModifiedBy>
  <cp:revision>2</cp:revision>
  <dcterms:created xsi:type="dcterms:W3CDTF">2025-05-23T09:35:00Z</dcterms:created>
  <dcterms:modified xsi:type="dcterms:W3CDTF">2025-05-23T09:35:00Z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0x010100A60DE407652B1B4AB62EDD9DA17147F5</vt:lpwstr>
  </property>
</Properties>
</file>